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2"/>
          <w:szCs w:val="22"/>
          <w:lang w:val="kk-KZ"/>
        </w:rPr>
      </w:pPr>
      <w:r>
        <w:rPr>
          <w:b/>
          <w:sz w:val="22"/>
          <w:szCs w:val="22"/>
          <w:lang w:val="kk-KZ"/>
        </w:rPr>
        <w:t>ӘЛ-ФАРАБИ АТЫНДАҒЫ ҚАЗАҚ ҰЛТТЫҚ УНИВЕРСИТЕТІ</w:t>
      </w:r>
    </w:p>
    <w:p>
      <w:pPr>
        <w:jc w:val="center"/>
        <w:rPr>
          <w:b/>
          <w:sz w:val="22"/>
          <w:szCs w:val="22"/>
          <w:lang w:val="kk-KZ"/>
        </w:rPr>
      </w:pPr>
    </w:p>
    <w:p>
      <w:pPr>
        <w:jc w:val="center"/>
        <w:rPr>
          <w:b/>
          <w:lang w:val="kk-KZ"/>
        </w:rPr>
      </w:pPr>
      <w:r>
        <w:rPr>
          <w:b/>
          <w:lang w:val="kk-KZ"/>
        </w:rPr>
        <w:t>СӨЖ тапсырмалар</w:t>
      </w:r>
    </w:p>
    <w:p>
      <w:pPr>
        <w:jc w:val="center"/>
        <w:rPr>
          <w:b/>
          <w:lang w:val="kk-KZ"/>
        </w:rPr>
      </w:pPr>
    </w:p>
    <w:p>
      <w:pPr>
        <w:pStyle w:val="9"/>
        <w:jc w:val="center"/>
        <w:rPr>
          <w:rFonts w:ascii="Times New Roman" w:hAnsi="Times New Roman"/>
          <w:sz w:val="24"/>
          <w:szCs w:val="24"/>
          <w:lang w:val="kk-KZ"/>
        </w:rPr>
      </w:pPr>
      <w:r>
        <w:rPr>
          <w:rFonts w:ascii="Times New Roman" w:hAnsi="Times New Roman"/>
          <w:sz w:val="24"/>
          <w:szCs w:val="24"/>
          <w:lang w:val="kk-KZ"/>
        </w:rPr>
        <w:t>Базалық кәсіби  модуль</w:t>
      </w:r>
    </w:p>
    <w:p>
      <w:pPr>
        <w:pStyle w:val="9"/>
        <w:jc w:val="center"/>
        <w:rPr>
          <w:rFonts w:ascii="Times New Roman" w:hAnsi="Times New Roman"/>
          <w:b/>
          <w:sz w:val="24"/>
          <w:szCs w:val="24"/>
          <w:lang w:val="kk-KZ"/>
        </w:rPr>
      </w:pPr>
      <w:r>
        <w:rPr>
          <w:rFonts w:ascii="Times New Roman" w:hAnsi="Times New Roman"/>
          <w:b/>
          <w:sz w:val="24"/>
          <w:szCs w:val="24"/>
          <w:lang w:val="kk-KZ"/>
        </w:rPr>
        <w:t xml:space="preserve"> «Far 2413</w:t>
      </w:r>
      <w:r>
        <w:rPr>
          <w:b/>
          <w:sz w:val="28"/>
          <w:szCs w:val="28"/>
          <w:lang w:val="kk-KZ"/>
        </w:rPr>
        <w:t xml:space="preserve"> </w:t>
      </w:r>
      <w:r>
        <w:rPr>
          <w:rFonts w:ascii="Times New Roman" w:hAnsi="Times New Roman"/>
          <w:b/>
          <w:sz w:val="24"/>
          <w:szCs w:val="24"/>
          <w:lang w:val="kk-KZ"/>
        </w:rPr>
        <w:t>Фармакология»</w:t>
      </w:r>
    </w:p>
    <w:p>
      <w:pPr>
        <w:pStyle w:val="9"/>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 курс, (қ/б)</w:t>
      </w:r>
      <w:r>
        <w:rPr>
          <w:sz w:val="24"/>
          <w:szCs w:val="24"/>
          <w:lang w:val="kk-KZ"/>
        </w:rPr>
        <w:t xml:space="preserve"> </w:t>
      </w:r>
      <w:r>
        <w:rPr>
          <w:sz w:val="24"/>
          <w:szCs w:val="24"/>
        </w:rPr>
        <w:t>6</w:t>
      </w:r>
      <w:r>
        <w:rPr>
          <w:rFonts w:ascii="Times New Roman" w:hAnsi="Times New Roman"/>
          <w:sz w:val="24"/>
          <w:szCs w:val="24"/>
          <w:lang w:val="kk-KZ"/>
        </w:rPr>
        <w:t xml:space="preserve"> семестр, </w:t>
      </w:r>
      <w:r>
        <w:rPr>
          <w:rFonts w:ascii="Times New Roman" w:hAnsi="Times New Roman"/>
          <w:sz w:val="24"/>
          <w:szCs w:val="24"/>
        </w:rPr>
        <w:t>7</w:t>
      </w:r>
      <w:bookmarkStart w:id="0" w:name="_GoBack"/>
      <w:bookmarkEnd w:id="0"/>
      <w:r>
        <w:rPr>
          <w:rFonts w:ascii="Times New Roman" w:hAnsi="Times New Roman"/>
          <w:sz w:val="24"/>
          <w:szCs w:val="24"/>
          <w:lang w:val="kk-KZ"/>
        </w:rPr>
        <w:t xml:space="preserve"> кредит</w:t>
      </w:r>
    </w:p>
    <w:p>
      <w:pPr>
        <w:pStyle w:val="9"/>
        <w:jc w:val="center"/>
        <w:rPr>
          <w:rFonts w:ascii="Times New Roman" w:hAnsi="Times New Roman"/>
          <w:sz w:val="24"/>
          <w:szCs w:val="24"/>
          <w:lang w:val="kk-KZ"/>
        </w:rPr>
      </w:pPr>
    </w:p>
    <w:p>
      <w:pPr>
        <w:pStyle w:val="9"/>
        <w:ind w:firstLine="426"/>
        <w:rPr>
          <w:rFonts w:ascii="Times New Roman" w:hAnsi="Times New Roman"/>
          <w:b/>
          <w:sz w:val="24"/>
          <w:szCs w:val="24"/>
          <w:lang w:val="kk-KZ"/>
        </w:rPr>
      </w:pPr>
    </w:p>
    <w:p>
      <w:pPr>
        <w:pStyle w:val="9"/>
        <w:ind w:firstLine="426"/>
        <w:rPr>
          <w:rFonts w:ascii="Times New Roman" w:hAnsi="Times New Roman"/>
          <w:b/>
          <w:sz w:val="24"/>
          <w:szCs w:val="24"/>
          <w:lang w:val="kk-KZ"/>
        </w:rPr>
      </w:pPr>
      <w:r>
        <w:rPr>
          <w:rFonts w:ascii="Times New Roman" w:hAnsi="Times New Roman"/>
          <w:b/>
          <w:sz w:val="24"/>
          <w:szCs w:val="24"/>
          <w:lang w:val="kk-KZ"/>
        </w:rPr>
        <w:t xml:space="preserve">Пәннің мақсаты мен міндеттері: </w:t>
      </w:r>
    </w:p>
    <w:p>
      <w:pPr>
        <w:ind w:firstLine="426"/>
        <w:jc w:val="both"/>
        <w:rPr>
          <w:lang w:val="kk-KZ"/>
        </w:rPr>
      </w:pPr>
      <w:r>
        <w:rPr>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815"/>
        <w:gridCol w:w="5071"/>
        <w:gridCol w:w="1134"/>
      </w:tblGrid>
      <w:tr>
        <w:tc>
          <w:tcPr>
            <w:tcW w:w="1302" w:type="dxa"/>
            <w:tcBorders>
              <w:top w:val="single" w:color="auto" w:sz="4" w:space="0"/>
              <w:left w:val="single" w:color="auto" w:sz="4" w:space="0"/>
              <w:bottom w:val="single" w:color="auto" w:sz="4" w:space="0"/>
              <w:right w:val="single" w:color="auto" w:sz="4" w:space="0"/>
            </w:tcBorders>
          </w:tcPr>
          <w:p>
            <w:pPr>
              <w:rPr>
                <w:b/>
                <w:lang w:val="kk-KZ"/>
              </w:rPr>
            </w:pPr>
            <w:r>
              <w:rPr>
                <w:b/>
                <w:lang w:val="kk-KZ"/>
              </w:rPr>
              <w:t>№ СӨЖ</w:t>
            </w:r>
          </w:p>
        </w:tc>
        <w:tc>
          <w:tcPr>
            <w:tcW w:w="1815" w:type="dxa"/>
            <w:tcBorders>
              <w:top w:val="single" w:color="auto" w:sz="4" w:space="0"/>
              <w:left w:val="single" w:color="auto" w:sz="4" w:space="0"/>
              <w:bottom w:val="single" w:color="auto" w:sz="4" w:space="0"/>
              <w:right w:val="single" w:color="auto" w:sz="4" w:space="0"/>
            </w:tcBorders>
          </w:tcPr>
          <w:p>
            <w:pPr>
              <w:rPr>
                <w:b/>
                <w:lang w:val="kk-KZ"/>
              </w:rPr>
            </w:pPr>
            <w:r>
              <w:rPr>
                <w:b/>
                <w:lang w:val="kk-KZ"/>
              </w:rPr>
              <w:t xml:space="preserve">Тапсыратын </w:t>
            </w:r>
          </w:p>
          <w:p>
            <w:pPr>
              <w:rPr>
                <w:b/>
                <w:lang w:val="kk-KZ"/>
              </w:rPr>
            </w:pPr>
            <w:r>
              <w:rPr>
                <w:b/>
                <w:lang w:val="kk-KZ"/>
              </w:rPr>
              <w:t>апта</w:t>
            </w:r>
          </w:p>
        </w:tc>
        <w:tc>
          <w:tcPr>
            <w:tcW w:w="5071" w:type="dxa"/>
            <w:tcBorders>
              <w:top w:val="single" w:color="auto" w:sz="4" w:space="0"/>
              <w:left w:val="single" w:color="auto" w:sz="4" w:space="0"/>
              <w:bottom w:val="single" w:color="auto" w:sz="4" w:space="0"/>
              <w:right w:val="single" w:color="auto" w:sz="4" w:space="0"/>
            </w:tcBorders>
          </w:tcPr>
          <w:p>
            <w:pPr>
              <w:rPr>
                <w:b/>
                <w:lang w:val="kk-KZ"/>
              </w:rPr>
            </w:pPr>
            <w:r>
              <w:rPr>
                <w:b/>
                <w:lang w:val="kk-KZ"/>
              </w:rPr>
              <w:t>СӨЖ тапсырма</w:t>
            </w:r>
          </w:p>
        </w:tc>
        <w:tc>
          <w:tcPr>
            <w:tcW w:w="1134" w:type="dxa"/>
            <w:tcBorders>
              <w:top w:val="single" w:color="auto" w:sz="4" w:space="0"/>
              <w:left w:val="single" w:color="auto" w:sz="4" w:space="0"/>
              <w:bottom w:val="single" w:color="auto" w:sz="4" w:space="0"/>
              <w:right w:val="single" w:color="auto" w:sz="4" w:space="0"/>
            </w:tcBorders>
          </w:tcPr>
          <w:p>
            <w:pPr>
              <w:rPr>
                <w:b/>
                <w:lang w:val="kk-KZ"/>
              </w:rPr>
            </w:pPr>
            <w:r>
              <w:rPr>
                <w:b/>
                <w:lang w:val="kk-KZ"/>
              </w:rPr>
              <w:t>Бағалау саясаты</w:t>
            </w:r>
          </w:p>
        </w:tc>
      </w:tr>
      <w:tr>
        <w:tc>
          <w:tcPr>
            <w:tcW w:w="1302" w:type="dxa"/>
            <w:tcBorders>
              <w:top w:val="single" w:color="auto" w:sz="4" w:space="0"/>
              <w:left w:val="single" w:color="auto" w:sz="4" w:space="0"/>
              <w:bottom w:val="single" w:color="auto" w:sz="4" w:space="0"/>
              <w:right w:val="single" w:color="auto" w:sz="4" w:space="0"/>
            </w:tcBorders>
          </w:tcPr>
          <w:p>
            <w:pPr>
              <w:rPr>
                <w:b/>
                <w:lang w:val="kk-KZ"/>
              </w:rPr>
            </w:pPr>
            <w:r>
              <w:rPr>
                <w:b/>
                <w:lang w:val="kk-KZ"/>
              </w:rPr>
              <w:t>1</w:t>
            </w:r>
          </w:p>
        </w:tc>
        <w:tc>
          <w:tcPr>
            <w:tcW w:w="1815" w:type="dxa"/>
            <w:tcBorders>
              <w:top w:val="single" w:color="auto" w:sz="4" w:space="0"/>
              <w:left w:val="single" w:color="auto" w:sz="4" w:space="0"/>
              <w:bottom w:val="single" w:color="auto" w:sz="4" w:space="0"/>
              <w:right w:val="single" w:color="auto" w:sz="4" w:space="0"/>
            </w:tcBorders>
          </w:tcPr>
          <w:p>
            <w:pPr>
              <w:rPr>
                <w:b/>
                <w:lang w:val="kk-KZ"/>
              </w:rPr>
            </w:pPr>
            <w:r>
              <w:rPr>
                <w:b/>
                <w:lang w:val="kk-KZ"/>
              </w:rPr>
              <w:t>3-4</w:t>
            </w:r>
          </w:p>
        </w:tc>
        <w:tc>
          <w:tcPr>
            <w:tcW w:w="5071" w:type="dxa"/>
            <w:tcBorders>
              <w:top w:val="single" w:color="auto" w:sz="4" w:space="0"/>
              <w:left w:val="single" w:color="auto" w:sz="4" w:space="0"/>
              <w:bottom w:val="single" w:color="auto" w:sz="4" w:space="0"/>
              <w:right w:val="single" w:color="auto" w:sz="4" w:space="0"/>
            </w:tcBorders>
          </w:tcPr>
          <w:p>
            <w:pPr>
              <w:rPr>
                <w:lang w:val="kk-KZ"/>
              </w:rPr>
            </w:pPr>
            <w:r>
              <w:rPr>
                <w:lang w:val="kk-KZ"/>
              </w:rPr>
              <w:t xml:space="preserve">Афференттық иннервациясын тежейтің және тітіңкендіретің дәрі-дәрмектер. </w:t>
            </w:r>
          </w:p>
          <w:p>
            <w:pPr>
              <w:pStyle w:val="11"/>
              <w:numPr>
                <w:ilvl w:val="0"/>
                <w:numId w:val="1"/>
              </w:numPr>
              <w:rPr>
                <w:sz w:val="20"/>
                <w:szCs w:val="20"/>
                <w:lang w:val="kk-KZ"/>
              </w:rPr>
            </w:pPr>
            <w:r>
              <w:rPr>
                <w:sz w:val="20"/>
                <w:szCs w:val="20"/>
                <w:lang w:val="kk-KZ"/>
              </w:rPr>
              <w:t>1.Асқазанның және он екі елі ішектің ойық жараларын емдеуге арналған препараттар. 2.Тері рецепторларды тежейтің препараттар. 3. Көзге арналған препараттар. 4. Тік ішекке арналған препараттар.</w:t>
            </w:r>
          </w:p>
          <w:p>
            <w:pPr>
              <w:pStyle w:val="11"/>
              <w:numPr>
                <w:ilvl w:val="0"/>
                <w:numId w:val="1"/>
              </w:numPr>
              <w:rPr>
                <w:b/>
                <w:lang w:val="kk-KZ"/>
              </w:rPr>
            </w:pPr>
            <w:r>
              <w:rPr>
                <w:sz w:val="20"/>
                <w:szCs w:val="20"/>
                <w:lang w:val="kk-KZ"/>
              </w:rPr>
              <w:t>1.Тәбетті артыратын препараттар. 2. Асқазан секрециясын арттыратын препараттар. 3.  Тері рецепторларды тітіркендіретің препараттар. 4.Құсу симптомдарды туудыратың препараттар.</w:t>
            </w:r>
          </w:p>
        </w:tc>
        <w:tc>
          <w:tcPr>
            <w:tcW w:w="1134" w:type="dxa"/>
            <w:tcBorders>
              <w:top w:val="single" w:color="auto" w:sz="4" w:space="0"/>
              <w:left w:val="single" w:color="auto" w:sz="4" w:space="0"/>
              <w:bottom w:val="single" w:color="auto" w:sz="4" w:space="0"/>
              <w:right w:val="single" w:color="auto" w:sz="4" w:space="0"/>
            </w:tcBorders>
          </w:tcPr>
          <w:p>
            <w:pPr>
              <w:rPr>
                <w:b/>
                <w:lang w:val="kk-KZ"/>
              </w:rPr>
            </w:pPr>
            <w:r>
              <w:rPr>
                <w:b/>
                <w:lang w:val="kk-KZ"/>
              </w:rPr>
              <w:t>10</w:t>
            </w:r>
          </w:p>
        </w:tc>
      </w:tr>
      <w:tr>
        <w:tc>
          <w:tcPr>
            <w:tcW w:w="1302" w:type="dxa"/>
            <w:tcBorders>
              <w:top w:val="single" w:color="auto" w:sz="4" w:space="0"/>
              <w:left w:val="single" w:color="auto" w:sz="4" w:space="0"/>
              <w:bottom w:val="single" w:color="auto" w:sz="4" w:space="0"/>
              <w:right w:val="single" w:color="auto" w:sz="4" w:space="0"/>
            </w:tcBorders>
          </w:tcPr>
          <w:p>
            <w:pPr>
              <w:rPr>
                <w:b/>
                <w:lang w:val="kk-KZ"/>
              </w:rPr>
            </w:pPr>
            <w:r>
              <w:rPr>
                <w:b/>
                <w:lang w:val="kk-KZ"/>
              </w:rPr>
              <w:t>2</w:t>
            </w:r>
          </w:p>
        </w:tc>
        <w:tc>
          <w:tcPr>
            <w:tcW w:w="1815" w:type="dxa"/>
            <w:tcBorders>
              <w:top w:val="single" w:color="auto" w:sz="4" w:space="0"/>
              <w:left w:val="single" w:color="auto" w:sz="4" w:space="0"/>
              <w:bottom w:val="single" w:color="auto" w:sz="4" w:space="0"/>
              <w:right w:val="single" w:color="auto" w:sz="4" w:space="0"/>
            </w:tcBorders>
          </w:tcPr>
          <w:p>
            <w:pPr>
              <w:rPr>
                <w:b/>
                <w:lang w:val="kk-KZ"/>
              </w:rPr>
            </w:pPr>
            <w:r>
              <w:rPr>
                <w:b/>
                <w:lang w:val="kk-KZ"/>
              </w:rPr>
              <w:t>5-6</w:t>
            </w:r>
          </w:p>
        </w:tc>
        <w:tc>
          <w:tcPr>
            <w:tcW w:w="5071" w:type="dxa"/>
            <w:tcBorders>
              <w:top w:val="single" w:color="auto" w:sz="4" w:space="0"/>
              <w:left w:val="single" w:color="auto" w:sz="4" w:space="0"/>
              <w:bottom w:val="single" w:color="auto" w:sz="4" w:space="0"/>
              <w:right w:val="single" w:color="auto" w:sz="4" w:space="0"/>
            </w:tcBorders>
          </w:tcPr>
          <w:p>
            <w:pPr>
              <w:rPr>
                <w:bCs/>
                <w:lang w:val="kk-KZ"/>
              </w:rPr>
            </w:pPr>
            <w:r>
              <w:rPr>
                <w:bCs/>
                <w:lang w:val="kk-KZ"/>
              </w:rPr>
              <w:t xml:space="preserve">Гипоталамустық гормон дәрілік препараттар. Гипофизарлық гормон дәрілік препараттар. Қалқанша бездің  гормон дәрілік препараттар. Ұйқы бездің гормон дәрілік препараттар. Еркек гормон дәрілік препараттар. </w:t>
            </w:r>
          </w:p>
          <w:p>
            <w:pPr>
              <w:rPr>
                <w:b/>
                <w:lang w:val="kk-KZ"/>
              </w:rPr>
            </w:pPr>
            <w:r>
              <w:rPr>
                <w:bCs/>
                <w:lang w:val="kk-KZ"/>
              </w:rPr>
              <w:t>Әйел жыныстық гормон препараттар.</w:t>
            </w:r>
          </w:p>
        </w:tc>
        <w:tc>
          <w:tcPr>
            <w:tcW w:w="1134" w:type="dxa"/>
            <w:tcBorders>
              <w:top w:val="single" w:color="auto" w:sz="4" w:space="0"/>
              <w:left w:val="single" w:color="auto" w:sz="4" w:space="0"/>
              <w:bottom w:val="single" w:color="auto" w:sz="4" w:space="0"/>
              <w:right w:val="single" w:color="auto" w:sz="4" w:space="0"/>
            </w:tcBorders>
          </w:tcPr>
          <w:p>
            <w:pPr>
              <w:rPr>
                <w:b/>
                <w:lang w:val="kk-KZ"/>
              </w:rPr>
            </w:pPr>
            <w:r>
              <w:rPr>
                <w:b/>
                <w:lang w:val="kk-KZ"/>
              </w:rPr>
              <w:t>10</w:t>
            </w:r>
          </w:p>
        </w:tc>
      </w:tr>
      <w:tr>
        <w:tc>
          <w:tcPr>
            <w:tcW w:w="1302" w:type="dxa"/>
            <w:tcBorders>
              <w:top w:val="single" w:color="auto" w:sz="4" w:space="0"/>
              <w:left w:val="single" w:color="auto" w:sz="4" w:space="0"/>
              <w:bottom w:val="single" w:color="auto" w:sz="4" w:space="0"/>
              <w:right w:val="single" w:color="auto" w:sz="4" w:space="0"/>
            </w:tcBorders>
          </w:tcPr>
          <w:p>
            <w:pPr>
              <w:rPr>
                <w:b/>
                <w:lang w:val="kk-KZ"/>
              </w:rPr>
            </w:pPr>
            <w:r>
              <w:rPr>
                <w:b/>
                <w:lang w:val="kk-KZ"/>
              </w:rPr>
              <w:t>3</w:t>
            </w:r>
          </w:p>
        </w:tc>
        <w:tc>
          <w:tcPr>
            <w:tcW w:w="1815" w:type="dxa"/>
            <w:tcBorders>
              <w:top w:val="single" w:color="auto" w:sz="4" w:space="0"/>
              <w:left w:val="single" w:color="auto" w:sz="4" w:space="0"/>
              <w:bottom w:val="single" w:color="auto" w:sz="4" w:space="0"/>
              <w:right w:val="single" w:color="auto" w:sz="4" w:space="0"/>
            </w:tcBorders>
          </w:tcPr>
          <w:p>
            <w:pPr>
              <w:rPr>
                <w:b/>
                <w:lang w:val="kk-KZ"/>
              </w:rPr>
            </w:pPr>
            <w:r>
              <w:rPr>
                <w:b/>
                <w:lang w:val="kk-KZ"/>
              </w:rPr>
              <w:t>9-10</w:t>
            </w:r>
          </w:p>
        </w:tc>
        <w:tc>
          <w:tcPr>
            <w:tcW w:w="5071" w:type="dxa"/>
            <w:tcBorders>
              <w:top w:val="single" w:color="auto" w:sz="4" w:space="0"/>
              <w:left w:val="single" w:color="auto" w:sz="4" w:space="0"/>
              <w:bottom w:val="single" w:color="auto" w:sz="4" w:space="0"/>
              <w:right w:val="single" w:color="auto" w:sz="4" w:space="0"/>
            </w:tcBorders>
          </w:tcPr>
          <w:p>
            <w:pPr>
              <w:rPr>
                <w:rFonts w:ascii="Kz Times New Roman" w:hAnsi="Kz Times New Roman"/>
                <w:lang w:val="kk-KZ"/>
              </w:rPr>
            </w:pPr>
            <w:r>
              <w:rPr>
                <w:rFonts w:ascii="Kz Times New Roman" w:hAnsi="Kz Times New Roman"/>
                <w:lang w:val="kk-KZ"/>
              </w:rPr>
              <w:t>Антибиотиктер.</w:t>
            </w:r>
          </w:p>
          <w:p>
            <w:pPr>
              <w:rPr>
                <w:rFonts w:ascii="Kz Times New Roman" w:hAnsi="Kz Times New Roman"/>
                <w:lang w:val="kk-KZ"/>
              </w:rPr>
            </w:pPr>
            <w:r>
              <w:rPr>
                <w:rFonts w:ascii="Kz Times New Roman" w:hAnsi="Kz Times New Roman"/>
                <w:lang w:val="kk-KZ"/>
              </w:rPr>
              <w:t xml:space="preserve">Грибоктарға қарсы дәрі-дәрмектер. Грибоктарға қарсы дәрі-дәрмектердің құрылысы бойынша жіктелуі. </w:t>
            </w:r>
          </w:p>
          <w:p>
            <w:pPr>
              <w:rPr>
                <w:rFonts w:ascii="Kz Times New Roman" w:hAnsi="Kz Times New Roman"/>
                <w:lang w:val="kk-KZ"/>
              </w:rPr>
            </w:pPr>
            <w:r>
              <w:rPr>
                <w:rFonts w:ascii="Kz Times New Roman" w:hAnsi="Kz Times New Roman"/>
                <w:lang w:val="kk-KZ"/>
              </w:rPr>
              <w:t>Онихомикоздар және микоздар болмау үшін гигиеналық ережелері.</w:t>
            </w:r>
          </w:p>
          <w:p>
            <w:pPr>
              <w:rPr>
                <w:lang w:val="kk-KZ"/>
              </w:rPr>
            </w:pPr>
            <w:r>
              <w:rPr>
                <w:rFonts w:ascii="Kz Times New Roman" w:hAnsi="Kz Times New Roman"/>
                <w:lang w:val="kk-KZ"/>
              </w:rPr>
              <w:t>Шартты-патогенді саңырауқұлақтармен шақырылатын аурулар кезінде қолданылатын заттар (кандидомикоздар)</w:t>
            </w:r>
            <w:r>
              <w:rPr>
                <w:lang w:val="kk-KZ"/>
              </w:rPr>
              <w:t xml:space="preserve">.  </w:t>
            </w:r>
          </w:p>
          <w:p>
            <w:pPr>
              <w:rPr>
                <w:b/>
                <w:lang w:val="kk-KZ"/>
              </w:rPr>
            </w:pPr>
            <w:r>
              <w:rPr>
                <w:lang w:val="kk-KZ"/>
              </w:rPr>
              <w:t>Асептиктер және антисептиктер. Түрлері және әсер ету механизмдері.</w:t>
            </w:r>
          </w:p>
        </w:tc>
        <w:tc>
          <w:tcPr>
            <w:tcW w:w="1134" w:type="dxa"/>
            <w:tcBorders>
              <w:top w:val="single" w:color="auto" w:sz="4" w:space="0"/>
              <w:left w:val="single" w:color="auto" w:sz="4" w:space="0"/>
              <w:bottom w:val="single" w:color="auto" w:sz="4" w:space="0"/>
              <w:right w:val="single" w:color="auto" w:sz="4" w:space="0"/>
            </w:tcBorders>
          </w:tcPr>
          <w:p>
            <w:pPr>
              <w:rPr>
                <w:b/>
                <w:lang w:val="kk-KZ"/>
              </w:rPr>
            </w:pPr>
            <w:r>
              <w:rPr>
                <w:b/>
                <w:lang w:val="kk-KZ"/>
              </w:rPr>
              <w:t>10</w:t>
            </w:r>
          </w:p>
        </w:tc>
      </w:tr>
      <w:tr>
        <w:tc>
          <w:tcPr>
            <w:tcW w:w="1302" w:type="dxa"/>
            <w:tcBorders>
              <w:top w:val="single" w:color="auto" w:sz="4" w:space="0"/>
              <w:left w:val="single" w:color="auto" w:sz="4" w:space="0"/>
              <w:bottom w:val="single" w:color="auto" w:sz="4" w:space="0"/>
              <w:right w:val="single" w:color="auto" w:sz="4" w:space="0"/>
            </w:tcBorders>
          </w:tcPr>
          <w:p>
            <w:pPr>
              <w:rPr>
                <w:b/>
                <w:lang w:val="kk-KZ"/>
              </w:rPr>
            </w:pPr>
            <w:r>
              <w:rPr>
                <w:b/>
                <w:lang w:val="kk-KZ"/>
              </w:rPr>
              <w:t>4</w:t>
            </w:r>
          </w:p>
        </w:tc>
        <w:tc>
          <w:tcPr>
            <w:tcW w:w="1815" w:type="dxa"/>
            <w:tcBorders>
              <w:top w:val="single" w:color="auto" w:sz="4" w:space="0"/>
              <w:left w:val="single" w:color="auto" w:sz="4" w:space="0"/>
              <w:bottom w:val="single" w:color="auto" w:sz="4" w:space="0"/>
              <w:right w:val="single" w:color="auto" w:sz="4" w:space="0"/>
            </w:tcBorders>
          </w:tcPr>
          <w:p>
            <w:pPr>
              <w:rPr>
                <w:b/>
                <w:lang w:val="kk-KZ"/>
              </w:rPr>
            </w:pPr>
            <w:r>
              <w:rPr>
                <w:b/>
                <w:lang w:val="kk-KZ"/>
              </w:rPr>
              <w:t>12-13</w:t>
            </w:r>
          </w:p>
        </w:tc>
        <w:tc>
          <w:tcPr>
            <w:tcW w:w="5071" w:type="dxa"/>
            <w:tcBorders>
              <w:top w:val="single" w:color="auto" w:sz="4" w:space="0"/>
              <w:left w:val="single" w:color="auto" w:sz="4" w:space="0"/>
              <w:bottom w:val="single" w:color="auto" w:sz="4" w:space="0"/>
              <w:right w:val="single" w:color="auto" w:sz="4" w:space="0"/>
            </w:tcBorders>
          </w:tcPr>
          <w:p>
            <w:pPr>
              <w:pStyle w:val="9"/>
              <w:rPr>
                <w:rFonts w:ascii="Times New Roman" w:hAnsi="Times New Roman"/>
                <w:sz w:val="24"/>
                <w:szCs w:val="24"/>
                <w:lang w:val="kk-KZ"/>
              </w:rPr>
            </w:pPr>
            <w:r>
              <w:rPr>
                <w:rFonts w:ascii="Times New Roman" w:hAnsi="Times New Roman"/>
                <w:sz w:val="24"/>
                <w:szCs w:val="24"/>
                <w:lang w:val="kk-KZ"/>
              </w:rPr>
              <w:t>Жүрек қан – тамырлар жүйесіне әсер ететін заттар.</w:t>
            </w:r>
          </w:p>
          <w:p>
            <w:pPr>
              <w:pStyle w:val="9"/>
              <w:rPr>
                <w:rFonts w:ascii="Times New Roman" w:hAnsi="Times New Roman"/>
                <w:sz w:val="24"/>
                <w:szCs w:val="24"/>
                <w:lang w:val="kk-KZ"/>
              </w:rPr>
            </w:pPr>
            <w:r>
              <w:rPr>
                <w:rFonts w:ascii="Times New Roman" w:hAnsi="Times New Roman"/>
                <w:sz w:val="24"/>
                <w:szCs w:val="24"/>
                <w:lang w:val="kk-KZ"/>
              </w:rPr>
              <w:t>Жүрек қан тамырлар жүйесінің аурулары. Сипаттамасы.</w:t>
            </w:r>
          </w:p>
          <w:p>
            <w:pPr>
              <w:pStyle w:val="9"/>
              <w:rPr>
                <w:rFonts w:ascii="Times New Roman" w:hAnsi="Times New Roman"/>
                <w:sz w:val="24"/>
                <w:szCs w:val="24"/>
                <w:lang w:val="kk-KZ"/>
              </w:rPr>
            </w:pPr>
            <w:r>
              <w:rPr>
                <w:rFonts w:ascii="Times New Roman" w:hAnsi="Times New Roman"/>
                <w:sz w:val="24"/>
                <w:szCs w:val="24"/>
                <w:lang w:val="kk-KZ"/>
              </w:rPr>
              <w:t xml:space="preserve">Антиангинальді препараттардың жіктелуі. </w:t>
            </w:r>
          </w:p>
          <w:p>
            <w:pPr>
              <w:rPr>
                <w:lang w:val="kk-KZ"/>
              </w:rPr>
            </w:pPr>
            <w:r>
              <w:rPr>
                <w:lang w:val="kk-KZ"/>
              </w:rPr>
              <w:t xml:space="preserve">Миокард инфаркты кезінде қолданылатын препараттар. </w:t>
            </w:r>
          </w:p>
          <w:p>
            <w:pPr>
              <w:rPr>
                <w:lang w:val="kk-KZ"/>
              </w:rPr>
            </w:pPr>
            <w:r>
              <w:rPr>
                <w:lang w:val="kk-KZ"/>
              </w:rPr>
              <w:t xml:space="preserve">Нитроглицериннің антиангинальді әсерінің механизмін сипаттау. </w:t>
            </w:r>
          </w:p>
          <w:p>
            <w:pPr>
              <w:rPr>
                <w:b/>
                <w:lang w:val="kk-KZ"/>
              </w:rPr>
            </w:pPr>
            <w:r>
              <w:rPr>
                <w:lang w:val="kk-KZ"/>
              </w:rPr>
              <w:t>Миокардтың өттегіне сұранысын төмендететін препараттар.</w:t>
            </w:r>
          </w:p>
        </w:tc>
        <w:tc>
          <w:tcPr>
            <w:tcW w:w="1134" w:type="dxa"/>
            <w:tcBorders>
              <w:top w:val="single" w:color="auto" w:sz="4" w:space="0"/>
              <w:left w:val="single" w:color="auto" w:sz="4" w:space="0"/>
              <w:bottom w:val="single" w:color="auto" w:sz="4" w:space="0"/>
              <w:right w:val="single" w:color="auto" w:sz="4" w:space="0"/>
            </w:tcBorders>
          </w:tcPr>
          <w:p>
            <w:pPr>
              <w:rPr>
                <w:b/>
                <w:lang w:val="kk-KZ"/>
              </w:rPr>
            </w:pPr>
            <w:r>
              <w:rPr>
                <w:b/>
                <w:lang w:val="kk-KZ"/>
              </w:rPr>
              <w:t>10</w:t>
            </w:r>
          </w:p>
        </w:tc>
      </w:tr>
    </w:tbl>
    <w:p>
      <w:pPr>
        <w:rPr>
          <w:lang w:val="kk-KZ"/>
        </w:rPr>
      </w:pPr>
    </w:p>
    <w:p>
      <w:pPr>
        <w:pStyle w:val="9"/>
        <w:ind w:firstLine="709"/>
        <w:jc w:val="center"/>
        <w:rPr>
          <w:rFonts w:ascii="Times New Roman" w:hAnsi="Times New Roman"/>
          <w:b/>
          <w:lang w:val="kk-KZ"/>
        </w:rPr>
      </w:pPr>
      <w:r>
        <w:rPr>
          <w:rFonts w:ascii="Times New Roman" w:hAnsi="Times New Roman"/>
          <w:b/>
          <w:lang w:val="kk-KZ"/>
        </w:rPr>
        <w:t>Әдебиеттер тізімі</w:t>
      </w:r>
    </w:p>
    <w:p>
      <w:pPr>
        <w:ind w:firstLine="360"/>
      </w:pPr>
      <w:r>
        <w:rPr>
          <w:b/>
          <w:bCs/>
        </w:rPr>
        <w:t xml:space="preserve">Негізгі: </w:t>
      </w:r>
    </w:p>
    <w:p>
      <w:pPr>
        <w:numPr>
          <w:ilvl w:val="0"/>
          <w:numId w:val="2"/>
        </w:numPr>
        <w:ind w:left="0" w:firstLine="426"/>
      </w:pPr>
      <w:r>
        <w:t xml:space="preserve">Харкевич </w:t>
      </w:r>
      <w:r>
        <w:rPr>
          <w:lang w:val="kk-KZ"/>
        </w:rPr>
        <w:t xml:space="preserve"> </w:t>
      </w:r>
      <w:r>
        <w:t xml:space="preserve">Д.А. </w:t>
      </w:r>
      <w:r>
        <w:rPr>
          <w:lang w:val="kk-KZ"/>
        </w:rPr>
        <w:t xml:space="preserve"> </w:t>
      </w:r>
      <w:r>
        <w:t>Фармакология:</w:t>
      </w:r>
      <w:r>
        <w:rPr>
          <w:lang w:val="kk-KZ"/>
        </w:rPr>
        <w:t xml:space="preserve"> </w:t>
      </w:r>
      <w:r>
        <w:t xml:space="preserve">Учебник для вузов- 9-е, изд.,перераб., доп., испр.-М.:ГЭОТАР-МЕД, 2006.-736б. </w:t>
      </w:r>
    </w:p>
    <w:p>
      <w:pPr>
        <w:numPr>
          <w:ilvl w:val="0"/>
          <w:numId w:val="2"/>
        </w:numPr>
        <w:ind w:left="0" w:firstLine="426"/>
      </w:pPr>
      <w:r>
        <w:t xml:space="preserve">Харкевич </w:t>
      </w:r>
      <w:r>
        <w:rPr>
          <w:lang w:val="kk-KZ"/>
        </w:rPr>
        <w:t xml:space="preserve"> </w:t>
      </w:r>
      <w:r>
        <w:t>Д.А. Фармакология:</w:t>
      </w:r>
      <w:r>
        <w:rPr>
          <w:lang w:val="kk-KZ"/>
        </w:rPr>
        <w:t xml:space="preserve"> </w:t>
      </w:r>
      <w:r>
        <w:t xml:space="preserve">Учебник для вузов- 10-е, изд.,перераб., доп., испр.-М.:ГЭОТАР-МЕД, 2008,2009.-752 б. </w:t>
      </w:r>
    </w:p>
    <w:p>
      <w:pPr>
        <w:numPr>
          <w:ilvl w:val="0"/>
          <w:numId w:val="2"/>
        </w:numPr>
        <w:ind w:left="0" w:firstLine="426"/>
      </w:pPr>
      <w:r>
        <w:t xml:space="preserve">Аляутдин Р.Н. Фармакология : учебник для вузов / ред. Р. Н. Аляутдин. - 4-е изд.,перераб. и доп. - М. : ГЭОТАР-Медиа, 2008 832б. </w:t>
      </w:r>
    </w:p>
    <w:p>
      <w:pPr>
        <w:numPr>
          <w:ilvl w:val="0"/>
          <w:numId w:val="2"/>
        </w:numPr>
        <w:ind w:left="0" w:firstLine="426"/>
      </w:pPr>
      <w:r>
        <w:t xml:space="preserve">Харкевич Д.А. Фармакология: Рук-во к лабораторным занятиям / ред. Д. А. Харкевич. - 5-е изд., испр и доп. - М. : ГЭОТАР-Медиа, 2010. - 488 б. </w:t>
      </w:r>
    </w:p>
    <w:p>
      <w:pPr>
        <w:numPr>
          <w:ilvl w:val="0"/>
          <w:numId w:val="2"/>
        </w:numPr>
        <w:ind w:left="0" w:firstLine="426"/>
      </w:pPr>
      <w:r>
        <w:t xml:space="preserve">Жаугашева С.К. Фармакология бойынша таңдамалы дәрістер курсы: Оқу құрал. - Қарағанды, 2008. - 86 б. </w:t>
      </w:r>
    </w:p>
    <w:p>
      <w:pPr>
        <w:ind w:firstLine="360"/>
      </w:pPr>
      <w:r>
        <w:rPr>
          <w:b/>
          <w:bCs/>
        </w:rPr>
        <w:t>Қосымша:</w:t>
      </w:r>
      <w:r>
        <w:t xml:space="preserve"> </w:t>
      </w:r>
    </w:p>
    <w:p>
      <w:pPr>
        <w:numPr>
          <w:ilvl w:val="0"/>
          <w:numId w:val="3"/>
        </w:numPr>
      </w:pPr>
      <w:r>
        <w:t xml:space="preserve">Кукес В.Г. Клиническая фармакология и фармакотерапия : Учебник для вузов / Кукес В.Г. ; ред. Стародубцев А.К. – М. : ГЭОТАР-Медиа, 2006. – 640 б. </w:t>
      </w:r>
    </w:p>
    <w:p>
      <w:pPr>
        <w:numPr>
          <w:ilvl w:val="0"/>
          <w:numId w:val="3"/>
        </w:numPr>
        <w:ind w:left="0" w:firstLine="426"/>
      </w:pPr>
      <w:r>
        <w:t xml:space="preserve">Вебер В.Р. Клиническая фармакология : учеб. пособие / В. Р. Вебер. - М. : Медицина, 2009. - 448 б. </w:t>
      </w:r>
    </w:p>
    <w:p>
      <w:pPr>
        <w:numPr>
          <w:ilvl w:val="0"/>
          <w:numId w:val="3"/>
        </w:numPr>
        <w:ind w:left="0" w:firstLine="426"/>
      </w:pPr>
      <w:r>
        <w:t xml:space="preserve">Белоусов Ю.Б. Клиническая фармакология : Нац. рук-во / Белоусов Ю.Б. ; ред: Кукес В.К., Лепахин В.К., Петров В.И. - М. : ГЭОТАР-Медиа, 2009. - 976 б. </w:t>
      </w:r>
    </w:p>
    <w:p>
      <w:pPr>
        <w:numPr>
          <w:ilvl w:val="0"/>
          <w:numId w:val="3"/>
        </w:numPr>
        <w:ind w:left="0" w:firstLine="426"/>
      </w:pPr>
      <w:r>
        <w:t xml:space="preserve">Кукес В.Г. Клиническая фармакология и фармакотерапия : учебник / В. Г. Кукес, А. К. Стародубцев. - 2-е изд., испр. - М. : ГЭОТАР-Медиа, 2009. - 640 б. </w:t>
      </w:r>
    </w:p>
    <w:p>
      <w:pPr>
        <w:numPr>
          <w:ilvl w:val="0"/>
          <w:numId w:val="3"/>
        </w:numPr>
        <w:ind w:left="0" w:firstLine="426"/>
      </w:pPr>
      <w:r>
        <w:t xml:space="preserve">Нил Майкл Дж. Наглядная фармакология : учеб. пособие для вузов: пер. с англ. / Майкл Дж. Нил. - М. : ГЭОТАР-Медиа, 2008. - 104 б. </w:t>
      </w:r>
    </w:p>
    <w:p>
      <w:pPr>
        <w:numPr>
          <w:ilvl w:val="0"/>
          <w:numId w:val="3"/>
        </w:numPr>
        <w:tabs>
          <w:tab w:val="left" w:pos="993"/>
        </w:tabs>
        <w:ind w:left="0" w:firstLine="426"/>
      </w:pPr>
      <w:r>
        <w:t xml:space="preserve">Райд Д.Л. Клиническая фармакология и фармакотерапия : лекционный курс: пер. с англ. / Д. Л. Райд, П. К. Рубин, М. Р. Уолтерс. - М. : Мед. лит., 2009. - 416 б. </w:t>
      </w:r>
    </w:p>
    <w:p>
      <w:pPr>
        <w:numPr>
          <w:ilvl w:val="0"/>
          <w:numId w:val="3"/>
        </w:numPr>
        <w:tabs>
          <w:tab w:val="left" w:pos="993"/>
        </w:tabs>
        <w:ind w:left="0" w:firstLine="426"/>
      </w:pPr>
      <w:r>
        <w:t xml:space="preserve">Рамачандран А. Фармакология в вопросах и ответах : учеб. пособие: пер. с англ. / ред. А. Рамачандран. - М. : ГЭОТАР-Медиа, 2009. - 560 б. </w:t>
      </w:r>
    </w:p>
    <w:p>
      <w:pPr>
        <w:numPr>
          <w:ilvl w:val="0"/>
          <w:numId w:val="3"/>
        </w:numPr>
        <w:ind w:left="0" w:firstLine="426"/>
        <w:rPr>
          <w:lang w:val="en-US"/>
        </w:rPr>
      </w:pPr>
      <w:r>
        <w:rPr>
          <w:lang w:val="en-US"/>
        </w:rPr>
        <w:t>Katzung B.G. Bas</w:t>
      </w:r>
      <w:r>
        <w:t>і</w:t>
      </w:r>
      <w:r>
        <w:rPr>
          <w:lang w:val="en-US"/>
        </w:rPr>
        <w:t>c &amp; cl</w:t>
      </w:r>
      <w:r>
        <w:t>і</w:t>
      </w:r>
      <w:r>
        <w:rPr>
          <w:lang w:val="en-US"/>
        </w:rPr>
        <w:t>n</w:t>
      </w:r>
      <w:r>
        <w:t>і</w:t>
      </w:r>
      <w:r>
        <w:rPr>
          <w:lang w:val="en-US"/>
        </w:rPr>
        <w:t>cal p</w:t>
      </w:r>
      <w:r>
        <w:t>һ</w:t>
      </w:r>
      <w:r>
        <w:rPr>
          <w:lang w:val="en-US"/>
        </w:rPr>
        <w:t>armacology - 8t</w:t>
      </w:r>
      <w:r>
        <w:t>һ</w:t>
      </w:r>
      <w:r>
        <w:rPr>
          <w:lang w:val="en-US"/>
        </w:rPr>
        <w:t xml:space="preserve"> ed. – New York : McGraw-H</w:t>
      </w:r>
      <w:r>
        <w:t>і</w:t>
      </w:r>
      <w:r>
        <w:rPr>
          <w:lang w:val="en-US"/>
        </w:rPr>
        <w:t xml:space="preserve">ll, 2003. - 1217 </w:t>
      </w:r>
      <w:r>
        <w:t>р</w:t>
      </w:r>
      <w:r>
        <w:rPr>
          <w:lang w:val="en-US"/>
        </w:rPr>
        <w:t>. - (A Lange med</w:t>
      </w:r>
      <w:r>
        <w:t>і</w:t>
      </w:r>
      <w:r>
        <w:rPr>
          <w:lang w:val="en-US"/>
        </w:rPr>
        <w:t>cal book.</w:t>
      </w:r>
      <w:r>
        <w:t>І</w:t>
      </w:r>
      <w:r>
        <w:rPr>
          <w:lang w:val="en-US"/>
        </w:rPr>
        <w:t>nternat</w:t>
      </w:r>
      <w:r>
        <w:t>і</w:t>
      </w:r>
      <w:r>
        <w:rPr>
          <w:lang w:val="en-US"/>
        </w:rPr>
        <w:t>onal ed</w:t>
      </w:r>
      <w:r>
        <w:t>і</w:t>
      </w:r>
      <w:r>
        <w:rPr>
          <w:lang w:val="en-US"/>
        </w:rPr>
        <w:t>t</w:t>
      </w:r>
      <w:r>
        <w:t>і</w:t>
      </w:r>
      <w:r>
        <w:rPr>
          <w:lang w:val="en-US"/>
        </w:rPr>
        <w:t xml:space="preserve">on) </w:t>
      </w:r>
    </w:p>
    <w:p>
      <w:pPr>
        <w:numPr>
          <w:ilvl w:val="0"/>
          <w:numId w:val="3"/>
        </w:numPr>
        <w:ind w:left="0" w:firstLine="426"/>
        <w:rPr>
          <w:lang w:val="en-US"/>
        </w:rPr>
      </w:pPr>
      <w:r>
        <w:rPr>
          <w:lang w:val="en-US"/>
        </w:rPr>
        <w:t>Howland, R.D. P</w:t>
      </w:r>
      <w:r>
        <w:t>һ</w:t>
      </w:r>
      <w:r>
        <w:rPr>
          <w:lang w:val="en-US"/>
        </w:rPr>
        <w:t>armacology-.J.-P</w:t>
      </w:r>
      <w:r>
        <w:t>һі</w:t>
      </w:r>
      <w:r>
        <w:rPr>
          <w:lang w:val="en-US"/>
        </w:rPr>
        <w:t>ladelp</w:t>
      </w:r>
      <w:r>
        <w:t>һі</w:t>
      </w:r>
      <w:r>
        <w:rPr>
          <w:lang w:val="en-US"/>
        </w:rPr>
        <w:t>a: L</w:t>
      </w:r>
      <w:r>
        <w:t>і</w:t>
      </w:r>
      <w:r>
        <w:rPr>
          <w:lang w:val="en-US"/>
        </w:rPr>
        <w:t>pp</w:t>
      </w:r>
      <w:r>
        <w:t>і</w:t>
      </w:r>
      <w:r>
        <w:rPr>
          <w:lang w:val="en-US"/>
        </w:rPr>
        <w:t>ncott W</w:t>
      </w:r>
      <w:r>
        <w:t>і</w:t>
      </w:r>
      <w:r>
        <w:rPr>
          <w:lang w:val="en-US"/>
        </w:rPr>
        <w:t>ll</w:t>
      </w:r>
      <w:r>
        <w:t>і</w:t>
      </w:r>
      <w:r>
        <w:rPr>
          <w:lang w:val="en-US"/>
        </w:rPr>
        <w:t>ams &amp; W</w:t>
      </w:r>
      <w:r>
        <w:t>і</w:t>
      </w:r>
      <w:r>
        <w:rPr>
          <w:lang w:val="en-US"/>
        </w:rPr>
        <w:t>lk</w:t>
      </w:r>
      <w:r>
        <w:t>і</w:t>
      </w:r>
      <w:r>
        <w:rPr>
          <w:lang w:val="en-US"/>
        </w:rPr>
        <w:t xml:space="preserve">ns, 2006. - 552 </w:t>
      </w:r>
      <w:r>
        <w:t>р</w:t>
      </w:r>
      <w:r>
        <w:rPr>
          <w:lang w:val="en-US"/>
        </w:rPr>
        <w:t>. - (L</w:t>
      </w:r>
      <w:r>
        <w:t>і</w:t>
      </w:r>
      <w:r>
        <w:rPr>
          <w:lang w:val="en-US"/>
        </w:rPr>
        <w:t>pp</w:t>
      </w:r>
      <w:r>
        <w:t>і</w:t>
      </w:r>
      <w:r>
        <w:rPr>
          <w:lang w:val="en-US"/>
        </w:rPr>
        <w:t xml:space="preserve">ncott's </w:t>
      </w:r>
      <w:r>
        <w:t>і</w:t>
      </w:r>
      <w:r>
        <w:rPr>
          <w:lang w:val="en-US"/>
        </w:rPr>
        <w:t>llustrated rev</w:t>
      </w:r>
      <w:r>
        <w:t>і</w:t>
      </w:r>
      <w:r>
        <w:rPr>
          <w:lang w:val="en-US"/>
        </w:rPr>
        <w:t xml:space="preserve">ew) </w:t>
      </w:r>
    </w:p>
    <w:p>
      <w:pPr>
        <w:numPr>
          <w:ilvl w:val="0"/>
          <w:numId w:val="3"/>
        </w:numPr>
        <w:tabs>
          <w:tab w:val="left" w:pos="993"/>
        </w:tabs>
        <w:ind w:left="0" w:firstLine="426"/>
        <w:rPr>
          <w:lang w:val="en-US"/>
        </w:rPr>
      </w:pPr>
      <w:r>
        <w:rPr>
          <w:lang w:val="en-US"/>
        </w:rPr>
        <w:t>S</w:t>
      </w:r>
      <w:r>
        <w:t>һ</w:t>
      </w:r>
      <w:r>
        <w:rPr>
          <w:lang w:val="en-US"/>
        </w:rPr>
        <w:t>am</w:t>
      </w:r>
      <w:r>
        <w:t>і</w:t>
      </w:r>
      <w:r>
        <w:rPr>
          <w:lang w:val="en-US"/>
        </w:rPr>
        <w:t>m, Mu</w:t>
      </w:r>
      <w:r>
        <w:t>һ</w:t>
      </w:r>
      <w:r>
        <w:rPr>
          <w:lang w:val="en-US"/>
        </w:rPr>
        <w:t>ammad Cl</w:t>
      </w:r>
      <w:r>
        <w:t>і</w:t>
      </w:r>
      <w:r>
        <w:rPr>
          <w:lang w:val="en-US"/>
        </w:rPr>
        <w:t>n</w:t>
      </w:r>
      <w:r>
        <w:t>і</w:t>
      </w:r>
      <w:r>
        <w:rPr>
          <w:lang w:val="en-US"/>
        </w:rPr>
        <w:t>co-bas</w:t>
      </w:r>
      <w:r>
        <w:t>і</w:t>
      </w:r>
      <w:r>
        <w:rPr>
          <w:lang w:val="en-US"/>
        </w:rPr>
        <w:t>c p</w:t>
      </w:r>
      <w:r>
        <w:t>һ</w:t>
      </w:r>
      <w:r>
        <w:rPr>
          <w:lang w:val="en-US"/>
        </w:rPr>
        <w:t>armacology: A rap</w:t>
      </w:r>
      <w:r>
        <w:t>і</w:t>
      </w:r>
      <w:r>
        <w:rPr>
          <w:lang w:val="en-US"/>
        </w:rPr>
        <w:t>d rev</w:t>
      </w:r>
      <w:r>
        <w:t>і</w:t>
      </w:r>
      <w:r>
        <w:rPr>
          <w:lang w:val="en-US"/>
        </w:rPr>
        <w:t>ew for undergraduates &amp; postgraduates. - Karac</w:t>
      </w:r>
      <w:r>
        <w:t>һі</w:t>
      </w:r>
      <w:r>
        <w:rPr>
          <w:lang w:val="en-US"/>
        </w:rPr>
        <w:t xml:space="preserve"> : K</w:t>
      </w:r>
      <w:r>
        <w:t>һ</w:t>
      </w:r>
      <w:r>
        <w:rPr>
          <w:lang w:val="en-US"/>
        </w:rPr>
        <w:t>urram &amp; Brot</w:t>
      </w:r>
      <w:r>
        <w:t>һ</w:t>
      </w:r>
      <w:r>
        <w:rPr>
          <w:lang w:val="en-US"/>
        </w:rPr>
        <w:t xml:space="preserve">ers, 2003. - 212 </w:t>
      </w:r>
      <w:r>
        <w:t>р</w:t>
      </w:r>
      <w:r>
        <w:rPr>
          <w:lang w:val="en-US"/>
        </w:rPr>
        <w:t xml:space="preserve">. </w:t>
      </w:r>
    </w:p>
    <w:p>
      <w:pPr>
        <w:numPr>
          <w:ilvl w:val="0"/>
          <w:numId w:val="3"/>
        </w:numPr>
        <w:tabs>
          <w:tab w:val="left" w:pos="1134"/>
        </w:tabs>
        <w:ind w:left="0" w:firstLine="426"/>
        <w:rPr>
          <w:lang w:val="en-US"/>
        </w:rPr>
      </w:pPr>
      <w:r>
        <w:rPr>
          <w:lang w:val="en-US"/>
        </w:rPr>
        <w:t>Lecture notes P</w:t>
      </w:r>
      <w:r>
        <w:t>һ</w:t>
      </w:r>
      <w:r>
        <w:rPr>
          <w:lang w:val="en-US"/>
        </w:rPr>
        <w:t>armacology notes : Lecture notes. - USA : Kaplan med</w:t>
      </w:r>
      <w:r>
        <w:t>і</w:t>
      </w:r>
      <w:r>
        <w:rPr>
          <w:lang w:val="en-US"/>
        </w:rPr>
        <w:t xml:space="preserve">cal, 2002. - 307 </w:t>
      </w:r>
      <w:r>
        <w:t>р</w:t>
      </w:r>
      <w:r>
        <w:rPr>
          <w:lang w:val="en-US"/>
        </w:rPr>
        <w:t xml:space="preserve">. </w:t>
      </w:r>
    </w:p>
    <w:p>
      <w:pPr>
        <w:tabs>
          <w:tab w:val="left" w:pos="1134"/>
        </w:tabs>
        <w:ind w:left="426"/>
        <w:rPr>
          <w:lang w:val="en-US"/>
        </w:rPr>
      </w:pPr>
    </w:p>
    <w:p>
      <w:pPr>
        <w:rPr>
          <w:lang w:val="kk-KZ"/>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Calibri">
    <w:altName w:val="Helvetica Neue"/>
    <w:panose1 w:val="020F0502020204030204"/>
    <w:charset w:val="CC"/>
    <w:family w:val="swiss"/>
    <w:pitch w:val="default"/>
    <w:sig w:usb0="00000000" w:usb1="00000000" w:usb2="00000009" w:usb3="00000000" w:csb0="000001FF" w:csb1="00000000"/>
  </w:font>
  <w:font w:name="Kz Times New Roman">
    <w:altName w:val="Thonburi"/>
    <w:panose1 w:val="00000000000000000000"/>
    <w:charset w:val="CC"/>
    <w:family w:val="roman"/>
    <w:pitch w:val="default"/>
    <w:sig w:usb0="00000000" w:usb1="00000000" w:usb2="00000028" w:usb3="00000000" w:csb0="000001FF" w:csb1="00000000"/>
  </w:font>
  <w:font w:name="Cambria">
    <w:altName w:val="Helvetica Neue"/>
    <w:panose1 w:val="02040503050406030204"/>
    <w:charset w:val="CC"/>
    <w:family w:val="roman"/>
    <w:pitch w:val="default"/>
    <w:sig w:usb0="00000000" w:usb1="00000000" w:usb2="02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honburi">
    <w:panose1 w:val="00000400000000000000"/>
    <w:charset w:val="00"/>
    <w:family w:val="auto"/>
    <w:pitch w:val="default"/>
    <w:sig w:usb0="01000000" w:usb1="00000000" w:usb2="00000000" w:usb3="00000000" w:csb0="20000193" w:csb1="4D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5221"/>
    <w:multiLevelType w:val="multilevel"/>
    <w:tmpl w:val="291552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CD874B5"/>
    <w:multiLevelType w:val="multilevel"/>
    <w:tmpl w:val="3CD874B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802CB0"/>
    <w:multiLevelType w:val="multilevel"/>
    <w:tmpl w:val="56802C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cumentProtection w:enforcement="0"/>
  <w:defaultTabStop w:val="708"/>
  <w:characterSpacingControl w:val="doNotCompress"/>
  <w:compat>
    <w:compatSetting w:name="compatibilityMode" w:uri="http://schemas.microsoft.com/office/word" w:val="12"/>
  </w:compat>
  <w:rsids>
    <w:rsidRoot w:val="00B03BE2"/>
    <w:rsid w:val="00085786"/>
    <w:rsid w:val="0049221D"/>
    <w:rsid w:val="005269C3"/>
    <w:rsid w:val="007F62EF"/>
    <w:rsid w:val="00B03BE2"/>
    <w:rsid w:val="00BA2C31"/>
    <w:rsid w:val="00BC20EC"/>
    <w:rsid w:val="00D04C0B"/>
    <w:rsid w:val="00D66D44"/>
    <w:rsid w:val="00F02E68"/>
    <w:rsid w:val="00F90018"/>
    <w:rsid w:val="FFFB5F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7"/>
    <w:qFormat/>
    <w:uiPriority w:val="0"/>
    <w:pPr>
      <w:keepNext/>
      <w:jc w:val="center"/>
      <w:outlineLvl w:val="0"/>
    </w:pPr>
    <w:rPr>
      <w:b/>
      <w:bCs/>
      <w:sz w:val="28"/>
    </w:rPr>
  </w:style>
  <w:style w:type="paragraph" w:styleId="3">
    <w:name w:val="heading 7"/>
    <w:basedOn w:val="1"/>
    <w:next w:val="1"/>
    <w:link w:val="8"/>
    <w:qFormat/>
    <w:uiPriority w:val="0"/>
    <w:pPr>
      <w:keepNext/>
      <w:ind w:firstLine="720"/>
      <w:jc w:val="center"/>
      <w:outlineLvl w:val="6"/>
    </w:pPr>
    <w:rPr>
      <w:b/>
      <w:bCs/>
      <w:sz w:val="28"/>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Body Text"/>
    <w:basedOn w:val="1"/>
    <w:link w:val="10"/>
    <w:qFormat/>
    <w:uiPriority w:val="0"/>
    <w:pPr>
      <w:spacing w:after="120"/>
    </w:pPr>
  </w:style>
  <w:style w:type="character" w:customStyle="1" w:styleId="7">
    <w:name w:val="Заголовок 1 Знак"/>
    <w:basedOn w:val="5"/>
    <w:link w:val="2"/>
    <w:qFormat/>
    <w:uiPriority w:val="0"/>
    <w:rPr>
      <w:rFonts w:ascii="Times New Roman" w:hAnsi="Times New Roman" w:eastAsia="Times New Roman" w:cs="Times New Roman"/>
      <w:b/>
      <w:bCs/>
      <w:sz w:val="28"/>
      <w:szCs w:val="24"/>
      <w:lang w:eastAsia="ru-RU"/>
    </w:rPr>
  </w:style>
  <w:style w:type="character" w:customStyle="1" w:styleId="8">
    <w:name w:val="Заголовок 7 Знак"/>
    <w:basedOn w:val="5"/>
    <w:link w:val="3"/>
    <w:qFormat/>
    <w:uiPriority w:val="0"/>
    <w:rPr>
      <w:rFonts w:ascii="Times New Roman" w:hAnsi="Times New Roman" w:eastAsia="Times New Roman" w:cs="Times New Roman"/>
      <w:b/>
      <w:bCs/>
      <w:sz w:val="28"/>
      <w:szCs w:val="24"/>
      <w:lang w:eastAsia="ru-RU"/>
    </w:rPr>
  </w:style>
  <w:style w:type="paragraph" w:customStyle="1" w:styleId="9">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0">
    <w:name w:val="Основной текст Знак"/>
    <w:basedOn w:val="5"/>
    <w:link w:val="4"/>
    <w:qFormat/>
    <w:uiPriority w:val="0"/>
    <w:rPr>
      <w:rFonts w:ascii="Times New Roman" w:hAnsi="Times New Roman" w:eastAsia="Times New Roman" w:cs="Times New Roman"/>
      <w:sz w:val="24"/>
      <w:szCs w:val="24"/>
      <w:lang w:eastAsia="ru-RU"/>
    </w:rPr>
  </w:style>
  <w:style w:type="paragraph" w:customStyle="1"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664</Words>
  <Characters>3791</Characters>
  <Lines>31</Lines>
  <Paragraphs>8</Paragraphs>
  <TotalTime>0</TotalTime>
  <ScaleCrop>false</ScaleCrop>
  <LinksUpToDate>false</LinksUpToDate>
  <CharactersWithSpaces>4447</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2016-02-15T13:13:00Z</dcterms:created>
  <dc:creator>layilia</dc:creator>
  <cp:lastModifiedBy>saya</cp:lastModifiedBy>
  <cp:lastPrinted>2016-02-16T11:53:00Z</cp:lastPrinted>
  <dcterms:modified xsi:type="dcterms:W3CDTF">2024-09-15T12:45:21Z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